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543B9" w14:textId="1BC3A25A" w:rsidR="009F768D" w:rsidRPr="006170D7" w:rsidRDefault="004618DE" w:rsidP="00F444BD">
      <w:pPr>
        <w:jc w:val="left"/>
        <w:rPr>
          <w:b/>
          <w:sz w:val="24"/>
          <w:szCs w:val="24"/>
          <w:lang w:val="en-US"/>
        </w:rPr>
      </w:pPr>
      <w:r w:rsidRPr="006170D7">
        <w:rPr>
          <w:b/>
          <w:sz w:val="24"/>
          <w:szCs w:val="24"/>
          <w:lang w:val="en-US"/>
        </w:rPr>
        <w:t>TUYẾN THÔNG TIN CHUYỂN TIẾP QUA VỆ TINH</w:t>
      </w:r>
      <w:r w:rsidR="00F444BD" w:rsidRPr="006170D7">
        <w:rPr>
          <w:b/>
          <w:sz w:val="24"/>
          <w:szCs w:val="24"/>
          <w:lang w:val="en-US"/>
        </w:rPr>
        <w:t xml:space="preserve"> (</w:t>
      </w:r>
      <w:r w:rsidR="00E70CB7">
        <w:rPr>
          <w:b/>
          <w:sz w:val="24"/>
          <w:szCs w:val="24"/>
          <w:lang w:val="en-US"/>
        </w:rPr>
        <w:t xml:space="preserve">cg. </w:t>
      </w:r>
      <w:r w:rsidRPr="006170D7">
        <w:rPr>
          <w:b/>
          <w:bCs/>
          <w:sz w:val="24"/>
          <w:szCs w:val="24"/>
          <w:lang w:val="en-US"/>
        </w:rPr>
        <w:t>Thông tin không gian mạng</w:t>
      </w:r>
      <w:r w:rsidR="00F444BD" w:rsidRPr="006170D7">
        <w:rPr>
          <w:b/>
          <w:bCs/>
          <w:sz w:val="24"/>
          <w:szCs w:val="24"/>
          <w:lang w:val="en-US"/>
        </w:rPr>
        <w:t>,</w:t>
      </w:r>
      <w:r w:rsidR="00E70CB7">
        <w:rPr>
          <w:b/>
          <w:bCs/>
          <w:sz w:val="24"/>
          <w:szCs w:val="24"/>
          <w:lang w:val="en-US"/>
        </w:rPr>
        <w:t xml:space="preserve"> A.</w:t>
      </w:r>
      <w:r w:rsidR="00F444BD" w:rsidRPr="006170D7">
        <w:rPr>
          <w:b/>
          <w:bCs/>
          <w:sz w:val="24"/>
          <w:szCs w:val="24"/>
          <w:lang w:val="en-US"/>
        </w:rPr>
        <w:t xml:space="preserve"> </w:t>
      </w:r>
      <w:r w:rsidRPr="006170D7">
        <w:rPr>
          <w:b/>
          <w:bCs/>
          <w:sz w:val="24"/>
          <w:szCs w:val="24"/>
        </w:rPr>
        <w:t>Information route forwarded via satellite</w:t>
      </w:r>
      <w:r w:rsidR="00F444BD" w:rsidRPr="006170D7">
        <w:rPr>
          <w:b/>
          <w:bCs/>
          <w:sz w:val="24"/>
          <w:szCs w:val="24"/>
          <w:lang w:val="en-US"/>
        </w:rPr>
        <w:t>,</w:t>
      </w:r>
      <w:r w:rsidRPr="006170D7">
        <w:rPr>
          <w:b/>
          <w:bCs/>
          <w:sz w:val="24"/>
          <w:szCs w:val="24"/>
          <w:lang w:val="en-US"/>
        </w:rPr>
        <w:t xml:space="preserve"> </w:t>
      </w:r>
      <w:r w:rsidRPr="006170D7">
        <w:rPr>
          <w:b/>
          <w:bCs/>
          <w:sz w:val="24"/>
          <w:szCs w:val="24"/>
        </w:rPr>
        <w:t>The space information network</w:t>
      </w:r>
      <w:r w:rsidR="00F444BD" w:rsidRPr="006170D7">
        <w:rPr>
          <w:b/>
          <w:bCs/>
          <w:sz w:val="24"/>
          <w:szCs w:val="24"/>
          <w:lang w:val="en-US"/>
        </w:rPr>
        <w:t>)</w:t>
      </w:r>
    </w:p>
    <w:p w14:paraId="50F7A714" w14:textId="0D0E7B2A" w:rsidR="008A4088" w:rsidRPr="00313050" w:rsidRDefault="004618DE" w:rsidP="008A4088">
      <w:pPr>
        <w:rPr>
          <w:sz w:val="28"/>
          <w:lang w:val="en-US"/>
        </w:rPr>
      </w:pPr>
      <w:r w:rsidRPr="00313050">
        <w:rPr>
          <w:sz w:val="28"/>
          <w:lang w:val="en-US"/>
        </w:rPr>
        <w:t>là tuyến truyền tải thông tin được chuyển tiếp thông qua vệ tinh, bao gồm tuyến đường liên kết truyền hướng lên giữa trạm mặt đất với vệ tinh và tuyến đường liên kết truyền hướng xuống giữa vệ tinh với trạm mặt đất trong môi trường không gian [1].</w:t>
      </w:r>
    </w:p>
    <w:p w14:paraId="40F9DFFD" w14:textId="74C3BE37" w:rsidR="004618DE" w:rsidRPr="00313050" w:rsidRDefault="006170D7" w:rsidP="006170D7">
      <w:pPr>
        <w:spacing w:before="0" w:after="0" w:line="240" w:lineRule="auto"/>
        <w:rPr>
          <w:sz w:val="28"/>
        </w:rPr>
      </w:pPr>
      <w:r>
        <w:rPr>
          <w:sz w:val="28"/>
        </w:rPr>
        <w:tab/>
      </w:r>
      <w:r>
        <w:rPr>
          <w:sz w:val="28"/>
        </w:rPr>
        <w:tab/>
      </w:r>
      <w:r w:rsidR="004618DE" w:rsidRPr="00313050">
        <w:rPr>
          <w:sz w:val="28"/>
        </w:rPr>
        <w:t>Sau khi được phóng vào vũ trụ, vệ tinh trở thành trạm thông tin ngoài trái đất. Nó có nhiệm vụ thu tín hiệu dưới dạng sóng vô tuyến từ một trạm ở trái đất, khuếch đại rồi phát trở về trái đất cho một trạm khác. Vệ tinh đóng vai trò lặp lại tín hiệu truyền giữa các trạm mặt đất, thực chất kỹ thuật thông tin vệ tinh là kỹ thuật truyền dẫn mà trong đó môi trường truyền dẫn là không gian vũ trụ với khoảng cách đường truyền khá dài.</w:t>
      </w:r>
    </w:p>
    <w:p w14:paraId="4D12CC5E" w14:textId="6BA003EE" w:rsidR="004618DE" w:rsidRPr="00313050" w:rsidRDefault="006170D7" w:rsidP="004618DE">
      <w:pPr>
        <w:rPr>
          <w:sz w:val="28"/>
        </w:rPr>
      </w:pPr>
      <w:r>
        <w:rPr>
          <w:sz w:val="28"/>
        </w:rPr>
        <w:tab/>
      </w:r>
      <w:r>
        <w:rPr>
          <w:sz w:val="28"/>
        </w:rPr>
        <w:tab/>
      </w:r>
      <w:r w:rsidR="004618DE" w:rsidRPr="00313050">
        <w:rPr>
          <w:sz w:val="28"/>
        </w:rPr>
        <w:t>Vệ tinh thông tin sử dụng các máy thu/phát vô tuyến, còn được gọi là bộ phát đáp. Bộ phát đáp là thiết bị chuyển tiếp đối với tín hiệu vô tuyến thu được trên vệ tinh, nó thực hiện xử lý và sau đó phát trở lại trạm mặt đất. Bộ phát đáp thường được xác định bằng băng thông (36, 54 hoặc 72 MHz), công suất bức xạ đẳng hướng tương đương EIRP (40 dBW tới 54 dBW) và khả năng xử lý trên quỹ đạo [3].</w:t>
      </w:r>
    </w:p>
    <w:p w14:paraId="65371BB8" w14:textId="736E5AD8" w:rsidR="004618DE" w:rsidRPr="00313050" w:rsidRDefault="006170D7" w:rsidP="004618DE">
      <w:pPr>
        <w:rPr>
          <w:sz w:val="28"/>
        </w:rPr>
      </w:pPr>
      <w:r>
        <w:rPr>
          <w:sz w:val="28"/>
        </w:rPr>
        <w:tab/>
      </w:r>
      <w:r>
        <w:rPr>
          <w:sz w:val="28"/>
        </w:rPr>
        <w:tab/>
      </w:r>
      <w:r w:rsidR="004618DE" w:rsidRPr="00313050">
        <w:rPr>
          <w:sz w:val="28"/>
        </w:rPr>
        <w:t xml:space="preserve">Đường hướng từ trạm mặt đất phát đến vệ tinh được gọi là đường lên (Up link) và đường từ vệ tinh đến trạm mặt đất thu gọi là đường xuống (Down link). Hầu hết, các tần số trong khoảng 6GHz hoặc 14GHz được dùng cho đường lên và tần số khoảng 4GHz hoặc 11GHz cho đường xuống [5]. </w:t>
      </w:r>
    </w:p>
    <w:p w14:paraId="49093016" w14:textId="6972C7F8" w:rsidR="00856952" w:rsidRPr="00313050" w:rsidRDefault="006170D7" w:rsidP="004618DE">
      <w:pPr>
        <w:rPr>
          <w:sz w:val="28"/>
        </w:rPr>
      </w:pPr>
      <w:r>
        <w:rPr>
          <w:sz w:val="28"/>
        </w:rPr>
        <w:tab/>
      </w:r>
      <w:r>
        <w:rPr>
          <w:sz w:val="28"/>
        </w:rPr>
        <w:tab/>
      </w:r>
      <w:r w:rsidR="004618DE" w:rsidRPr="00313050">
        <w:rPr>
          <w:sz w:val="28"/>
        </w:rPr>
        <w:t>Tại đầu phát, thông tin nhận từ mạng nguồn (có thể là kênh thoại, truyền hình quảng bá, truyền số liệu ...) sẽ được dùng để điều chế một sóng mang trung tần IF. Sau đó tín hiệu này được đưa qua bộ chuyển đổi nâng tần (Up Converter) cho ra tần số cao hơn RF (Radio Frequency). Tín hiệu RF này được khuếch đại ở bộ khuếch đại công suất cao HPA (High Power Amplifier) rồi được bức xạ ra không gian lên vệ tinh qua anten phát. Tại vệ tinh, tín hiệu nhận được qua anten sẽ được khuếch đại và chuyển đổi tần số xuống (Down Converter), sau đó được khuếch đại công suất rồi được phát trở lại trạm mặt đất. Ở trạm mặt đất thu, tín hiệu thu được qua anten được khuếch đại bởi bộ khuếch đại tạp âm thấp LNA (Low Noise Amplifier). Sau đó được chuyển đổi tần số xuống trung tần qua bộ chuyển đổi hạ tần (Down Converter) và cuối cùng được giải điều chế khôi phục lại tín hiệu băng gốc.</w:t>
      </w:r>
    </w:p>
    <w:p w14:paraId="4BF660AE" w14:textId="62FADA2F" w:rsidR="00847858" w:rsidRPr="00313050" w:rsidRDefault="004618DE" w:rsidP="00CB0F32">
      <w:pPr>
        <w:spacing w:before="120" w:after="120" w:line="240" w:lineRule="auto"/>
        <w:outlineLvl w:val="0"/>
        <w:rPr>
          <w:b/>
          <w:bCs/>
          <w:sz w:val="28"/>
        </w:rPr>
      </w:pPr>
      <w:r w:rsidRPr="00313050">
        <w:rPr>
          <w:b/>
          <w:bCs/>
          <w:sz w:val="28"/>
        </w:rPr>
        <w:t>Quỹ đạo của vệ tinh [1]</w:t>
      </w:r>
      <w:r w:rsidR="00847858" w:rsidRPr="00313050">
        <w:rPr>
          <w:b/>
          <w:bCs/>
          <w:sz w:val="28"/>
        </w:rPr>
        <w:t>:</w:t>
      </w:r>
    </w:p>
    <w:p w14:paraId="0241F87B" w14:textId="54089CC3" w:rsidR="004618DE" w:rsidRPr="00313050" w:rsidRDefault="006170D7" w:rsidP="004618DE">
      <w:pPr>
        <w:rPr>
          <w:sz w:val="28"/>
        </w:rPr>
      </w:pPr>
      <w:r>
        <w:rPr>
          <w:sz w:val="28"/>
        </w:rPr>
        <w:tab/>
      </w:r>
      <w:r>
        <w:rPr>
          <w:sz w:val="28"/>
        </w:rPr>
        <w:tab/>
      </w:r>
      <w:r w:rsidR="004618DE" w:rsidRPr="00313050">
        <w:rPr>
          <w:sz w:val="28"/>
        </w:rPr>
        <w:t>Theo góc giữa quỹ đạo của vệ tinh và mặt phẳng xích đạo của trái đất, quỹ đạo vệ tinh có thể được phân thành 3 loại cơ bản: Quỹ đạo xích đạo; Quỹ đạo elip nghiêng và Quỹ đạo cực tròn.</w:t>
      </w:r>
    </w:p>
    <w:p w14:paraId="37E635AA" w14:textId="36CF915E" w:rsidR="004618DE" w:rsidRPr="00313050" w:rsidRDefault="006170D7" w:rsidP="004618DE">
      <w:pPr>
        <w:rPr>
          <w:sz w:val="28"/>
        </w:rPr>
      </w:pPr>
      <w:r>
        <w:rPr>
          <w:sz w:val="28"/>
        </w:rPr>
        <w:tab/>
      </w:r>
      <w:r>
        <w:rPr>
          <w:sz w:val="28"/>
        </w:rPr>
        <w:tab/>
      </w:r>
      <w:r w:rsidR="004618DE" w:rsidRPr="00313050">
        <w:rPr>
          <w:sz w:val="28"/>
        </w:rPr>
        <w:t>Quỹ đạo elip nghiêng: vệ tinh có thể đạt đến các vùng cực cao mà các vệ tinh địa tĩnh không thể đạt tới. Tuy nhiên quỹ đạo elip nghiêng có nhược điểm là hiệu ứng Doppler lớn và vấn đề điều khiển bám đuổi vệ tinh phải ở mức cao.</w:t>
      </w:r>
    </w:p>
    <w:p w14:paraId="15A59055" w14:textId="4BCDF227" w:rsidR="004618DE" w:rsidRPr="00313050" w:rsidRDefault="006170D7" w:rsidP="004618DE">
      <w:pPr>
        <w:rPr>
          <w:sz w:val="28"/>
        </w:rPr>
      </w:pPr>
      <w:r>
        <w:rPr>
          <w:sz w:val="28"/>
        </w:rPr>
        <w:lastRenderedPageBreak/>
        <w:tab/>
      </w:r>
      <w:r>
        <w:rPr>
          <w:sz w:val="28"/>
        </w:rPr>
        <w:tab/>
      </w:r>
      <w:r w:rsidR="004618DE" w:rsidRPr="00313050">
        <w:rPr>
          <w:sz w:val="28"/>
        </w:rPr>
        <w:t>Đối với quỹ đạo cực tròn mỗi điểm trên mặt đất đều nhìn thấy vệ tinh trong một khoảng thời gian nhất định. Việc phủ sóng toàn cầu của dạng quỹ đạo này đạt được vì quỹ đạo bay của vệ tinh sẽ lần lược quét tất cả các vị trí trên mặt đất. Dạng quỹ đạo này được sử dụng cho các vệ tinh dự báo thời tiết, hàng hải, thăm dò tài nguyên và các vệ tinh do thám. Nó ít được sử dụng cho thông tin truyền hình vì thời gian xuất hiện ngắn.</w:t>
      </w:r>
    </w:p>
    <w:p w14:paraId="0B9EC1A2" w14:textId="7D8754D2" w:rsidR="004618DE" w:rsidRPr="00313050" w:rsidRDefault="006170D7" w:rsidP="004618DE">
      <w:pPr>
        <w:rPr>
          <w:sz w:val="28"/>
        </w:rPr>
      </w:pPr>
      <w:r>
        <w:rPr>
          <w:sz w:val="28"/>
        </w:rPr>
        <w:tab/>
      </w:r>
      <w:r>
        <w:rPr>
          <w:sz w:val="28"/>
        </w:rPr>
        <w:tab/>
      </w:r>
      <w:r w:rsidR="004618DE" w:rsidRPr="00313050">
        <w:rPr>
          <w:sz w:val="28"/>
        </w:rPr>
        <w:t>Đối với dạng quỹ đạo xích đạo tròn, vệ tinh bay trên mặt phẳng đường xích đạo và là dạng quỹ đạo được dùng cho vệ tinh địa tĩnh, nếu vệ tinh bay ở một độ cao đúng thì dạng quỹ đạo này sẽ lý tưởng đối với các vệ tinh thông tin.</w:t>
      </w:r>
    </w:p>
    <w:p w14:paraId="64771288" w14:textId="6A727C41" w:rsidR="004618DE" w:rsidRPr="00313050" w:rsidRDefault="006170D7" w:rsidP="004618DE">
      <w:pPr>
        <w:rPr>
          <w:sz w:val="28"/>
        </w:rPr>
      </w:pPr>
      <w:r>
        <w:rPr>
          <w:sz w:val="28"/>
        </w:rPr>
        <w:tab/>
      </w:r>
      <w:r>
        <w:rPr>
          <w:sz w:val="28"/>
        </w:rPr>
        <w:tab/>
      </w:r>
      <w:r w:rsidR="004618DE" w:rsidRPr="00313050">
        <w:rPr>
          <w:sz w:val="28"/>
        </w:rPr>
        <w:t>Theo khoảng cách từ trái đất đến vệ tinh có Quỹ đạo địa tĩnh GEO (Geosychronous Earth Orbit); Quỹ đạo trung bình MEO (Medium Earth Orbit); Quỹ đạo thấp LEO (Low Earth Orbit).</w:t>
      </w:r>
    </w:p>
    <w:p w14:paraId="05AB4B18" w14:textId="7B012F25" w:rsidR="00847858" w:rsidRPr="00313050" w:rsidRDefault="004618DE" w:rsidP="00CB0F32">
      <w:pPr>
        <w:spacing w:before="120" w:after="120" w:line="240" w:lineRule="auto"/>
        <w:outlineLvl w:val="0"/>
        <w:rPr>
          <w:b/>
          <w:bCs/>
          <w:sz w:val="28"/>
        </w:rPr>
      </w:pPr>
      <w:r w:rsidRPr="00313050">
        <w:rPr>
          <w:b/>
          <w:bCs/>
          <w:sz w:val="28"/>
          <w:lang w:val="en-US"/>
        </w:rPr>
        <w:t>Tần số sử dụng trong thông tin vệ tinh [4]</w:t>
      </w:r>
      <w:r w:rsidR="00847858" w:rsidRPr="00313050">
        <w:rPr>
          <w:b/>
          <w:bCs/>
          <w:sz w:val="28"/>
        </w:rPr>
        <w:t>:</w:t>
      </w:r>
    </w:p>
    <w:p w14:paraId="7FF84D95" w14:textId="77777777" w:rsidR="004618DE" w:rsidRPr="00313050" w:rsidRDefault="004618DE" w:rsidP="006170D7">
      <w:pPr>
        <w:tabs>
          <w:tab w:val="clear" w:pos="567"/>
          <w:tab w:val="clear" w:pos="851"/>
          <w:tab w:val="clear" w:pos="1134"/>
        </w:tabs>
        <w:ind w:firstLine="720"/>
        <w:rPr>
          <w:rFonts w:cs="Times New Roman"/>
          <w:sz w:val="28"/>
          <w:szCs w:val="26"/>
        </w:rPr>
      </w:pPr>
      <w:r w:rsidRPr="00313050">
        <w:rPr>
          <w:rFonts w:cs="Times New Roman"/>
          <w:sz w:val="28"/>
          <w:szCs w:val="26"/>
        </w:rPr>
        <w:t>Các tần số sử dụng trong thông tin vệ tinh nằm trong băng tần siêu cao SHF (Super High Frequency) từ 3 đến 30 GHz, trong phổ tần số sử dụng cho vệ tinh người ta còn chia các băng tần nhỏ với phạm vi của dãy phổ như bảng dưới.</w:t>
      </w:r>
    </w:p>
    <w:tbl>
      <w:tblPr>
        <w:tblStyle w:val="TableGrid1"/>
        <w:tblW w:w="0" w:type="auto"/>
        <w:jc w:val="center"/>
        <w:tblLook w:val="04A0" w:firstRow="1" w:lastRow="0" w:firstColumn="1" w:lastColumn="0" w:noHBand="0" w:noVBand="1"/>
      </w:tblPr>
      <w:tblGrid>
        <w:gridCol w:w="1749"/>
        <w:gridCol w:w="3021"/>
        <w:gridCol w:w="3021"/>
      </w:tblGrid>
      <w:tr w:rsidR="004618DE" w:rsidRPr="00313050" w14:paraId="1C0BE841" w14:textId="77777777" w:rsidTr="00493E40">
        <w:trPr>
          <w:jc w:val="center"/>
        </w:trPr>
        <w:tc>
          <w:tcPr>
            <w:tcW w:w="1749" w:type="dxa"/>
          </w:tcPr>
          <w:p w14:paraId="73C553FF" w14:textId="77777777" w:rsidR="004618DE" w:rsidRPr="00313050" w:rsidRDefault="004618DE" w:rsidP="004618DE">
            <w:pPr>
              <w:tabs>
                <w:tab w:val="clear" w:pos="567"/>
                <w:tab w:val="clear" w:pos="851"/>
                <w:tab w:val="clear" w:pos="1134"/>
              </w:tabs>
              <w:spacing w:before="0" w:after="0" w:line="240" w:lineRule="auto"/>
              <w:jc w:val="center"/>
              <w:rPr>
                <w:rFonts w:cs="Times New Roman"/>
                <w:b/>
                <w:bCs/>
                <w:sz w:val="28"/>
                <w:szCs w:val="26"/>
                <w:lang w:val="en-US"/>
              </w:rPr>
            </w:pPr>
            <w:r w:rsidRPr="00313050">
              <w:rPr>
                <w:rFonts w:cs="Times New Roman"/>
                <w:b/>
                <w:bCs/>
                <w:sz w:val="28"/>
                <w:szCs w:val="26"/>
                <w:lang w:val="en-US"/>
              </w:rPr>
              <w:t>Băng</w:t>
            </w:r>
          </w:p>
        </w:tc>
        <w:tc>
          <w:tcPr>
            <w:tcW w:w="3021" w:type="dxa"/>
          </w:tcPr>
          <w:p w14:paraId="74345C0A" w14:textId="77777777" w:rsidR="004618DE" w:rsidRPr="00313050" w:rsidRDefault="004618DE" w:rsidP="004618DE">
            <w:pPr>
              <w:tabs>
                <w:tab w:val="clear" w:pos="567"/>
                <w:tab w:val="clear" w:pos="851"/>
                <w:tab w:val="clear" w:pos="1134"/>
              </w:tabs>
              <w:spacing w:before="0" w:after="0" w:line="240" w:lineRule="auto"/>
              <w:jc w:val="center"/>
              <w:rPr>
                <w:rFonts w:cs="Times New Roman"/>
                <w:b/>
                <w:bCs/>
                <w:sz w:val="28"/>
                <w:szCs w:val="26"/>
                <w:lang w:val="en-US"/>
              </w:rPr>
            </w:pPr>
            <w:r w:rsidRPr="00313050">
              <w:rPr>
                <w:rFonts w:cs="Times New Roman"/>
                <w:b/>
                <w:bCs/>
                <w:sz w:val="28"/>
                <w:szCs w:val="26"/>
                <w:lang w:val="en-US"/>
              </w:rPr>
              <w:t>Tần số (GHz)</w:t>
            </w:r>
          </w:p>
        </w:tc>
        <w:tc>
          <w:tcPr>
            <w:tcW w:w="3021" w:type="dxa"/>
          </w:tcPr>
          <w:p w14:paraId="17BBD5F5" w14:textId="77777777" w:rsidR="004618DE" w:rsidRPr="00313050" w:rsidRDefault="004618DE" w:rsidP="004618DE">
            <w:pPr>
              <w:tabs>
                <w:tab w:val="clear" w:pos="567"/>
                <w:tab w:val="clear" w:pos="851"/>
                <w:tab w:val="clear" w:pos="1134"/>
              </w:tabs>
              <w:spacing w:before="0" w:after="0" w:line="240" w:lineRule="auto"/>
              <w:jc w:val="center"/>
              <w:rPr>
                <w:rFonts w:cs="Times New Roman"/>
                <w:b/>
                <w:bCs/>
                <w:sz w:val="28"/>
                <w:szCs w:val="26"/>
                <w:lang w:val="en-US"/>
              </w:rPr>
            </w:pPr>
            <w:r w:rsidRPr="00313050">
              <w:rPr>
                <w:rFonts w:cs="Times New Roman"/>
                <w:b/>
                <w:bCs/>
                <w:sz w:val="28"/>
                <w:szCs w:val="26"/>
                <w:lang w:val="en-US"/>
              </w:rPr>
              <w:t>Bước sóng (cm)</w:t>
            </w:r>
          </w:p>
        </w:tc>
      </w:tr>
      <w:tr w:rsidR="004618DE" w:rsidRPr="00313050" w14:paraId="6AF6F8CF" w14:textId="77777777" w:rsidTr="00493E40">
        <w:trPr>
          <w:jc w:val="center"/>
        </w:trPr>
        <w:tc>
          <w:tcPr>
            <w:tcW w:w="1749" w:type="dxa"/>
          </w:tcPr>
          <w:p w14:paraId="0FD9CDB3"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rFonts w:cs="Times New Roman"/>
                <w:sz w:val="28"/>
                <w:szCs w:val="26"/>
                <w:lang w:val="en-US"/>
              </w:rPr>
              <w:t>C</w:t>
            </w:r>
          </w:p>
        </w:tc>
        <w:tc>
          <w:tcPr>
            <w:tcW w:w="3021" w:type="dxa"/>
          </w:tcPr>
          <w:p w14:paraId="31B4F577"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3,400 ÷ 7,075</w:t>
            </w:r>
          </w:p>
        </w:tc>
        <w:tc>
          <w:tcPr>
            <w:tcW w:w="3021" w:type="dxa"/>
          </w:tcPr>
          <w:p w14:paraId="06399ADE"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8,82 ÷ 4,41</w:t>
            </w:r>
          </w:p>
        </w:tc>
      </w:tr>
      <w:tr w:rsidR="004618DE" w:rsidRPr="00313050" w14:paraId="0FCE0AEE" w14:textId="77777777" w:rsidTr="00493E40">
        <w:trPr>
          <w:jc w:val="center"/>
        </w:trPr>
        <w:tc>
          <w:tcPr>
            <w:tcW w:w="1749" w:type="dxa"/>
          </w:tcPr>
          <w:p w14:paraId="1FB405F4"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rFonts w:cs="Times New Roman"/>
                <w:sz w:val="28"/>
                <w:szCs w:val="26"/>
                <w:lang w:val="en-US"/>
              </w:rPr>
              <w:t>X</w:t>
            </w:r>
          </w:p>
        </w:tc>
        <w:tc>
          <w:tcPr>
            <w:tcW w:w="3021" w:type="dxa"/>
          </w:tcPr>
          <w:p w14:paraId="585512B8"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7,025 ÷ 8,425</w:t>
            </w:r>
          </w:p>
        </w:tc>
        <w:tc>
          <w:tcPr>
            <w:tcW w:w="3021" w:type="dxa"/>
          </w:tcPr>
          <w:p w14:paraId="52BBF5B5"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4,41 ÷ 3,56</w:t>
            </w:r>
          </w:p>
        </w:tc>
      </w:tr>
      <w:tr w:rsidR="004618DE" w:rsidRPr="00313050" w14:paraId="6B4B531A" w14:textId="77777777" w:rsidTr="00493E40">
        <w:trPr>
          <w:jc w:val="center"/>
        </w:trPr>
        <w:tc>
          <w:tcPr>
            <w:tcW w:w="1749" w:type="dxa"/>
          </w:tcPr>
          <w:p w14:paraId="6E860EB2"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rFonts w:cs="Times New Roman"/>
                <w:sz w:val="28"/>
                <w:szCs w:val="26"/>
                <w:lang w:val="en-US"/>
              </w:rPr>
              <w:t>Ku</w:t>
            </w:r>
          </w:p>
        </w:tc>
        <w:tc>
          <w:tcPr>
            <w:tcW w:w="3021" w:type="dxa"/>
          </w:tcPr>
          <w:p w14:paraId="27EEB262"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10,90 ÷ 18,10</w:t>
            </w:r>
          </w:p>
        </w:tc>
        <w:tc>
          <w:tcPr>
            <w:tcW w:w="3021" w:type="dxa"/>
          </w:tcPr>
          <w:p w14:paraId="0B3E2CDA"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2,75 ÷ 1,66</w:t>
            </w:r>
          </w:p>
        </w:tc>
      </w:tr>
      <w:tr w:rsidR="004618DE" w:rsidRPr="00313050" w14:paraId="26A5FABE" w14:textId="77777777" w:rsidTr="00493E40">
        <w:trPr>
          <w:jc w:val="center"/>
        </w:trPr>
        <w:tc>
          <w:tcPr>
            <w:tcW w:w="1749" w:type="dxa"/>
          </w:tcPr>
          <w:p w14:paraId="43BFF738"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rFonts w:cs="Times New Roman"/>
                <w:sz w:val="28"/>
                <w:szCs w:val="26"/>
                <w:lang w:val="en-US"/>
              </w:rPr>
              <w:t>Ka</w:t>
            </w:r>
          </w:p>
        </w:tc>
        <w:tc>
          <w:tcPr>
            <w:tcW w:w="3021" w:type="dxa"/>
          </w:tcPr>
          <w:p w14:paraId="367BF30A"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17,70 ÷ 36,00</w:t>
            </w:r>
          </w:p>
        </w:tc>
        <w:tc>
          <w:tcPr>
            <w:tcW w:w="3021" w:type="dxa"/>
          </w:tcPr>
          <w:p w14:paraId="4C279C5A" w14:textId="77777777" w:rsidR="004618DE" w:rsidRPr="00313050" w:rsidRDefault="004618DE" w:rsidP="004618DE">
            <w:pPr>
              <w:tabs>
                <w:tab w:val="clear" w:pos="567"/>
                <w:tab w:val="clear" w:pos="851"/>
                <w:tab w:val="clear" w:pos="1134"/>
              </w:tabs>
              <w:spacing w:before="0" w:after="0" w:line="240" w:lineRule="auto"/>
              <w:jc w:val="center"/>
              <w:rPr>
                <w:rFonts w:cs="Times New Roman"/>
                <w:sz w:val="28"/>
                <w:szCs w:val="26"/>
                <w:lang w:val="en-US"/>
              </w:rPr>
            </w:pPr>
            <w:r w:rsidRPr="00313050">
              <w:rPr>
                <w:sz w:val="28"/>
                <w:szCs w:val="26"/>
                <w:lang w:val="en-US"/>
              </w:rPr>
              <w:t>1,95 ÷ 0,83</w:t>
            </w:r>
          </w:p>
        </w:tc>
      </w:tr>
    </w:tbl>
    <w:p w14:paraId="176C7FE2" w14:textId="28B776A2" w:rsidR="00847858" w:rsidRPr="006170D7" w:rsidRDefault="006170D7" w:rsidP="00847858">
      <w:pPr>
        <w:rPr>
          <w:sz w:val="28"/>
          <w:szCs w:val="26"/>
          <w:lang w:val="en-US"/>
        </w:rPr>
      </w:pPr>
      <w:r>
        <w:rPr>
          <w:rFonts w:cs="Times New Roman"/>
          <w:sz w:val="28"/>
          <w:szCs w:val="26"/>
        </w:rPr>
        <w:tab/>
      </w:r>
      <w:r>
        <w:rPr>
          <w:rFonts w:cs="Times New Roman"/>
          <w:sz w:val="28"/>
          <w:szCs w:val="26"/>
        </w:rPr>
        <w:tab/>
      </w:r>
      <w:r w:rsidR="004618DE" w:rsidRPr="00313050">
        <w:rPr>
          <w:rFonts w:cs="Times New Roman"/>
          <w:sz w:val="28"/>
          <w:szCs w:val="26"/>
        </w:rPr>
        <w:t>Hiện nay, băng C và băng Ku được sử dụng phổ biến nhất, băng C (4/6 GHz) nằm ở khoảng giữa cửa sổ tần số, suy hao ít do mưa, trước đây được dùng cho các hệ thống viba mặt đất. Băng Ka (20/30 GHz) lần đầu tiên sử dụng cho thông tin thương mại qua vệ tinh Sakura của Nhật, cho phép sử dụng các trạm mặt đất nhỏ và hoàn toàn không gây nhiễu cho các hệ thống viba</w:t>
      </w:r>
      <w:r>
        <w:rPr>
          <w:rFonts w:cs="Times New Roman"/>
          <w:sz w:val="28"/>
          <w:szCs w:val="26"/>
          <w:lang w:val="en-US"/>
        </w:rPr>
        <w:t>.</w:t>
      </w:r>
    </w:p>
    <w:p w14:paraId="6B11E628" w14:textId="77777777" w:rsidR="006170D7" w:rsidRDefault="006170D7" w:rsidP="006170D7">
      <w:pPr>
        <w:spacing w:before="0" w:after="0" w:line="240" w:lineRule="auto"/>
        <w:jc w:val="right"/>
        <w:rPr>
          <w:b/>
          <w:sz w:val="24"/>
        </w:rPr>
      </w:pPr>
    </w:p>
    <w:p w14:paraId="3078ACB2" w14:textId="505C7883" w:rsidR="00847858" w:rsidRDefault="00847858" w:rsidP="006170D7">
      <w:pPr>
        <w:spacing w:before="0" w:after="0" w:line="240" w:lineRule="auto"/>
        <w:jc w:val="right"/>
        <w:rPr>
          <w:b/>
          <w:sz w:val="24"/>
        </w:rPr>
      </w:pPr>
      <w:r w:rsidRPr="00313050">
        <w:rPr>
          <w:b/>
          <w:sz w:val="24"/>
        </w:rPr>
        <w:t>TRẦN THIỆN CHÍNH</w:t>
      </w:r>
      <w:r w:rsidR="004618DE" w:rsidRPr="00313050">
        <w:rPr>
          <w:b/>
          <w:sz w:val="24"/>
        </w:rPr>
        <w:t>, TRẦN HUY LONG</w:t>
      </w:r>
    </w:p>
    <w:p w14:paraId="0688184E" w14:textId="77777777" w:rsidR="006170D7" w:rsidRPr="00313050" w:rsidRDefault="006170D7" w:rsidP="006170D7">
      <w:pPr>
        <w:spacing w:before="0" w:after="0" w:line="240" w:lineRule="auto"/>
        <w:jc w:val="right"/>
        <w:rPr>
          <w:b/>
          <w:sz w:val="24"/>
        </w:rPr>
      </w:pPr>
    </w:p>
    <w:p w14:paraId="6493196A" w14:textId="2E190C3A" w:rsidR="00847858" w:rsidRPr="00313050" w:rsidRDefault="00847858" w:rsidP="006170D7">
      <w:pPr>
        <w:spacing w:before="0" w:after="0" w:line="240" w:lineRule="auto"/>
        <w:outlineLvl w:val="0"/>
        <w:rPr>
          <w:b/>
          <w:bCs/>
          <w:sz w:val="24"/>
        </w:rPr>
      </w:pPr>
      <w:r w:rsidRPr="00313050">
        <w:rPr>
          <w:b/>
          <w:bCs/>
          <w:sz w:val="24"/>
        </w:rPr>
        <w:t>Tài liệu tham khảo</w:t>
      </w:r>
    </w:p>
    <w:p w14:paraId="2965D223" w14:textId="77777777" w:rsidR="004618DE" w:rsidRPr="00313050" w:rsidRDefault="004618DE" w:rsidP="006170D7">
      <w:pPr>
        <w:pStyle w:val="ListParagraph"/>
        <w:numPr>
          <w:ilvl w:val="0"/>
          <w:numId w:val="1"/>
        </w:numPr>
        <w:spacing w:before="0" w:after="0" w:line="240" w:lineRule="auto"/>
        <w:outlineLvl w:val="2"/>
        <w:rPr>
          <w:sz w:val="24"/>
        </w:rPr>
      </w:pPr>
      <w:r w:rsidRPr="00313050">
        <w:rPr>
          <w:sz w:val="24"/>
        </w:rPr>
        <w:t xml:space="preserve">QI Xiaogang, MA Jiulong, WU Dan, LIU Lifang, HU Shaolin, </w:t>
      </w:r>
      <w:r w:rsidRPr="00313050">
        <w:rPr>
          <w:i/>
          <w:iCs/>
          <w:sz w:val="24"/>
        </w:rPr>
        <w:t>A survey of routing techniques for satellite networks</w:t>
      </w:r>
      <w:r w:rsidRPr="00313050">
        <w:rPr>
          <w:sz w:val="24"/>
        </w:rPr>
        <w:t>, Journal of communications and information networks, 2016, 1(4): 66-85.</w:t>
      </w:r>
    </w:p>
    <w:p w14:paraId="423B5CB6" w14:textId="77777777" w:rsidR="004618DE" w:rsidRPr="00313050" w:rsidRDefault="004618DE" w:rsidP="006170D7">
      <w:pPr>
        <w:pStyle w:val="ListParagraph"/>
        <w:numPr>
          <w:ilvl w:val="0"/>
          <w:numId w:val="1"/>
        </w:numPr>
        <w:spacing w:before="0" w:after="0" w:line="240" w:lineRule="auto"/>
        <w:outlineLvl w:val="2"/>
        <w:rPr>
          <w:sz w:val="24"/>
        </w:rPr>
      </w:pPr>
      <w:r w:rsidRPr="00313050">
        <w:rPr>
          <w:sz w:val="24"/>
        </w:rPr>
        <w:t xml:space="preserve">T. de Cola, A. Ginesi, G. Giambene, G. C. Polyzos, V. C. Siris, N. Fotiou and Y. Thomas, </w:t>
      </w:r>
      <w:r w:rsidRPr="00313050">
        <w:rPr>
          <w:i/>
          <w:iCs/>
          <w:sz w:val="24"/>
        </w:rPr>
        <w:t>Network and Protocol Architectures for Future Satellite Systems</w:t>
      </w:r>
      <w:r w:rsidRPr="00313050">
        <w:rPr>
          <w:sz w:val="24"/>
        </w:rPr>
        <w:t>, Foundations and Trends® in Networking 2017.</w:t>
      </w:r>
    </w:p>
    <w:p w14:paraId="7A607D58" w14:textId="77777777" w:rsidR="004618DE" w:rsidRPr="00313050" w:rsidRDefault="004618DE" w:rsidP="006170D7">
      <w:pPr>
        <w:pStyle w:val="ListParagraph"/>
        <w:numPr>
          <w:ilvl w:val="0"/>
          <w:numId w:val="1"/>
        </w:numPr>
        <w:spacing w:before="0" w:after="0" w:line="240" w:lineRule="auto"/>
        <w:outlineLvl w:val="2"/>
        <w:rPr>
          <w:sz w:val="24"/>
        </w:rPr>
      </w:pPr>
      <w:r w:rsidRPr="00313050">
        <w:rPr>
          <w:sz w:val="24"/>
        </w:rPr>
        <w:t xml:space="preserve">Anil K. Maini and Varsha Agrawal, </w:t>
      </w:r>
      <w:r w:rsidRPr="00313050">
        <w:rPr>
          <w:i/>
          <w:iCs/>
          <w:sz w:val="24"/>
        </w:rPr>
        <w:t>Curriculum SATELLITE TECHNOLOGY Principles and Applications</w:t>
      </w:r>
      <w:r w:rsidRPr="00313050">
        <w:rPr>
          <w:sz w:val="24"/>
        </w:rPr>
        <w:t>, John Wiley and Sons, Ltd 2011.</w:t>
      </w:r>
    </w:p>
    <w:p w14:paraId="5B3D5567" w14:textId="1CD82577" w:rsidR="009F768D" w:rsidRPr="00313050" w:rsidRDefault="004618DE" w:rsidP="006170D7">
      <w:pPr>
        <w:pStyle w:val="ListParagraph"/>
        <w:numPr>
          <w:ilvl w:val="0"/>
          <w:numId w:val="1"/>
        </w:numPr>
        <w:spacing w:before="0" w:after="0" w:line="240" w:lineRule="auto"/>
        <w:outlineLvl w:val="2"/>
        <w:rPr>
          <w:sz w:val="24"/>
        </w:rPr>
      </w:pPr>
      <w:r w:rsidRPr="00313050">
        <w:rPr>
          <w:sz w:val="24"/>
        </w:rPr>
        <w:t>Nguyễn Phạm Anh Dũng, Giáo trình Thông tin vệ tinh, Học viện công nghệ bưu chính viễn thông 2007</w:t>
      </w:r>
      <w:r w:rsidR="00504513">
        <w:rPr>
          <w:sz w:val="24"/>
          <w:lang w:val="en-US"/>
        </w:rPr>
        <w:t>.</w:t>
      </w:r>
    </w:p>
    <w:p w14:paraId="6C46FE08" w14:textId="366EF243" w:rsidR="004618DE" w:rsidRPr="00313050" w:rsidRDefault="004618DE" w:rsidP="006170D7">
      <w:pPr>
        <w:pStyle w:val="ListParagraph"/>
        <w:numPr>
          <w:ilvl w:val="0"/>
          <w:numId w:val="1"/>
        </w:numPr>
        <w:spacing w:before="0" w:after="0" w:line="240" w:lineRule="auto"/>
        <w:outlineLvl w:val="2"/>
        <w:rPr>
          <w:sz w:val="24"/>
        </w:rPr>
      </w:pPr>
      <w:r w:rsidRPr="00313050">
        <w:rPr>
          <w:sz w:val="24"/>
        </w:rPr>
        <w:t>Laurent Franck</w:t>
      </w:r>
      <w:r w:rsidRPr="00313050">
        <w:rPr>
          <w:sz w:val="24"/>
          <w:lang w:val="en-US"/>
        </w:rPr>
        <w:t>, Store And Forward For Real-Enough-Time Services In Satellite Constellations, IFIP World Computer Congress, TC 6 2004.</w:t>
      </w:r>
    </w:p>
    <w:sectPr w:rsidR="004618DE" w:rsidRPr="00313050" w:rsidSect="006170D7">
      <w:pgSz w:w="11907" w:h="16840"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918A5"/>
    <w:multiLevelType w:val="hybridMultilevel"/>
    <w:tmpl w:val="3D929A48"/>
    <w:lvl w:ilvl="0" w:tplc="0722015A">
      <w:start w:val="1"/>
      <w:numFmt w:val="decimal"/>
      <w:suff w:val="space"/>
      <w:lvlText w:val="[%1]"/>
      <w:lvlJc w:val="left"/>
      <w:pPr>
        <w:ind w:left="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8D"/>
    <w:rsid w:val="00287FB5"/>
    <w:rsid w:val="00313050"/>
    <w:rsid w:val="00382894"/>
    <w:rsid w:val="003920BE"/>
    <w:rsid w:val="004618DE"/>
    <w:rsid w:val="00504513"/>
    <w:rsid w:val="00585C4C"/>
    <w:rsid w:val="005964BF"/>
    <w:rsid w:val="005C371D"/>
    <w:rsid w:val="006170D7"/>
    <w:rsid w:val="006A1C69"/>
    <w:rsid w:val="006C33D0"/>
    <w:rsid w:val="00847858"/>
    <w:rsid w:val="00856952"/>
    <w:rsid w:val="00892A90"/>
    <w:rsid w:val="008A4088"/>
    <w:rsid w:val="009C7808"/>
    <w:rsid w:val="009F768D"/>
    <w:rsid w:val="00A35397"/>
    <w:rsid w:val="00A43819"/>
    <w:rsid w:val="00AD69CA"/>
    <w:rsid w:val="00CB0F32"/>
    <w:rsid w:val="00D35C54"/>
    <w:rsid w:val="00E24F71"/>
    <w:rsid w:val="00E31064"/>
    <w:rsid w:val="00E3627C"/>
    <w:rsid w:val="00E70CB7"/>
    <w:rsid w:val="00E87C77"/>
    <w:rsid w:val="00E92009"/>
    <w:rsid w:val="00EA73D1"/>
    <w:rsid w:val="00F444BD"/>
    <w:rsid w:val="00F55CDB"/>
    <w:rsid w:val="00F57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2E8F"/>
  <w15:chartTrackingRefBased/>
  <w15:docId w15:val="{055A519A-9C11-4CB7-BA0A-1472BA82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8D"/>
    <w:pPr>
      <w:tabs>
        <w:tab w:val="left" w:pos="567"/>
        <w:tab w:val="left" w:pos="851"/>
        <w:tab w:val="left" w:pos="1134"/>
      </w:tabs>
      <w:spacing w:before="60" w:after="60" w:line="340" w:lineRule="atLeast"/>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BE"/>
    <w:rPr>
      <w:color w:val="0563C1" w:themeColor="hyperlink"/>
      <w:u w:val="single"/>
    </w:rPr>
  </w:style>
  <w:style w:type="character" w:customStyle="1" w:styleId="UnresolvedMention1">
    <w:name w:val="Unresolved Mention1"/>
    <w:basedOn w:val="DefaultParagraphFont"/>
    <w:uiPriority w:val="99"/>
    <w:semiHidden/>
    <w:unhideWhenUsed/>
    <w:rsid w:val="003920BE"/>
    <w:rPr>
      <w:color w:val="605E5C"/>
      <w:shd w:val="clear" w:color="auto" w:fill="E1DFDD"/>
    </w:rPr>
  </w:style>
  <w:style w:type="paragraph" w:styleId="ListParagraph">
    <w:name w:val="List Paragraph"/>
    <w:basedOn w:val="Normal"/>
    <w:uiPriority w:val="34"/>
    <w:qFormat/>
    <w:rsid w:val="008A4088"/>
    <w:pPr>
      <w:widowControl w:val="0"/>
      <w:contextualSpacing/>
    </w:pPr>
  </w:style>
  <w:style w:type="table" w:customStyle="1" w:styleId="TableGrid1">
    <w:name w:val="Table Grid1"/>
    <w:basedOn w:val="TableNormal"/>
    <w:next w:val="TableGrid"/>
    <w:uiPriority w:val="39"/>
    <w:rsid w:val="004618DE"/>
    <w:pPr>
      <w:spacing w:line="240" w:lineRule="auto"/>
      <w:ind w:left="1077" w:hanging="357"/>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E9E20-DE67-46EC-BBDD-8B83941E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Thien Chinh</dc:creator>
  <cp:keywords/>
  <dc:description/>
  <cp:lastModifiedBy>Quynh Tran</cp:lastModifiedBy>
  <cp:revision>7</cp:revision>
  <cp:lastPrinted>2022-01-14T04:53:00Z</cp:lastPrinted>
  <dcterms:created xsi:type="dcterms:W3CDTF">2022-01-12T17:07:00Z</dcterms:created>
  <dcterms:modified xsi:type="dcterms:W3CDTF">2022-01-14T10:24:00Z</dcterms:modified>
</cp:coreProperties>
</file>